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5C" w:rsidRPr="00F1041A" w:rsidRDefault="00E9775C" w:rsidP="00E9775C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附</w:t>
      </w:r>
      <w:r w:rsidRPr="00F1041A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件</w:t>
      </w: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3</w:t>
      </w:r>
    </w:p>
    <w:p w:rsidR="00E9775C" w:rsidRPr="00F1041A" w:rsidRDefault="00E9775C" w:rsidP="00E9775C">
      <w:pPr>
        <w:jc w:val="center"/>
        <w:outlineLvl w:val="0"/>
        <w:rPr>
          <w:rFonts w:ascii="黑体" w:eastAsia="黑体" w:hAnsi="黑体"/>
          <w:sz w:val="28"/>
          <w:szCs w:val="28"/>
        </w:rPr>
      </w:pPr>
      <w:r w:rsidRPr="00F1041A">
        <w:rPr>
          <w:rFonts w:ascii="黑体" w:eastAsia="黑体" w:hAnsi="黑体" w:hint="eastAsia"/>
          <w:sz w:val="28"/>
          <w:szCs w:val="28"/>
        </w:rPr>
        <w:t>《行动计划》</w:t>
      </w:r>
      <w:r w:rsidRPr="00F1041A">
        <w:rPr>
          <w:rFonts w:ascii="黑体" w:eastAsia="黑体" w:hAnsi="黑体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7</w:t>
      </w:r>
      <w:r w:rsidRPr="00F1041A">
        <w:rPr>
          <w:rFonts w:ascii="黑体" w:eastAsia="黑体" w:hAnsi="黑体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各</w:t>
      </w:r>
      <w:r w:rsidRPr="00F1041A">
        <w:rPr>
          <w:rFonts w:ascii="黑体" w:eastAsia="黑体" w:hAnsi="黑体"/>
          <w:sz w:val="28"/>
          <w:szCs w:val="28"/>
        </w:rPr>
        <w:t>行指委承接任务（项目）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/>
          <w:sz w:val="28"/>
          <w:szCs w:val="28"/>
        </w:rPr>
        <w:t>情况汇总表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4104"/>
        <w:gridCol w:w="866"/>
        <w:gridCol w:w="979"/>
        <w:gridCol w:w="713"/>
        <w:gridCol w:w="843"/>
        <w:gridCol w:w="849"/>
        <w:gridCol w:w="708"/>
        <w:gridCol w:w="846"/>
        <w:gridCol w:w="1042"/>
        <w:gridCol w:w="795"/>
        <w:gridCol w:w="940"/>
        <w:gridCol w:w="934"/>
      </w:tblGrid>
      <w:tr w:rsidR="00E9775C" w:rsidRPr="00F1041A" w:rsidTr="000D104E">
        <w:trPr>
          <w:trHeight w:val="30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序号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cs="Calibri" w:hint="eastAsia"/>
                <w:kern w:val="0"/>
                <w:szCs w:val="21"/>
              </w:rPr>
              <w:t>单位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任务数量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012DA6">
              <w:rPr>
                <w:rFonts w:ascii="Times New Roman" w:eastAsia="仿宋_GB2312" w:hAnsi="Times New Roman"/>
                <w:kern w:val="0"/>
                <w:szCs w:val="21"/>
              </w:rPr>
              <w:t>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任务启动数量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任务启动率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数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量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012DA6">
              <w:rPr>
                <w:rFonts w:ascii="Times New Roman" w:eastAsia="仿宋_GB2312" w:hAnsi="Times New Roman"/>
                <w:kern w:val="0"/>
                <w:szCs w:val="21"/>
              </w:rPr>
              <w:t>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项目启动数</w:t>
            </w:r>
            <w:r>
              <w:rPr>
                <w:rFonts w:ascii="仿宋_GB2312" w:eastAsia="仿宋_GB2312" w:hAnsi="宋体" w:cs="Calibri"/>
                <w:kern w:val="0"/>
                <w:szCs w:val="21"/>
              </w:rPr>
              <w:t>量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项目启动率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承接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项目布点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数量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E9775C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012DA6">
              <w:rPr>
                <w:rFonts w:ascii="Times New Roman" w:eastAsia="仿宋_GB2312" w:hAnsi="Times New Roman"/>
                <w:kern w:val="0"/>
                <w:szCs w:val="21"/>
              </w:rPr>
              <w:t>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启动项目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实际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布点</w:t>
            </w:r>
            <w:r>
              <w:rPr>
                <w:rFonts w:ascii="仿宋_GB2312" w:eastAsia="仿宋_GB2312" w:hAnsi="宋体" w:cs="Calibri" w:hint="eastAsia"/>
                <w:kern w:val="0"/>
                <w:szCs w:val="21"/>
              </w:rPr>
              <w:t>数量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E9775C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项目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布点率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E9775C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预估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经费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E9775C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012DA6">
              <w:rPr>
                <w:rFonts w:ascii="Times New Roman" w:eastAsia="仿宋_GB2312" w:hAnsi="Times New Roman"/>
                <w:kern w:val="0"/>
                <w:szCs w:val="21"/>
              </w:rPr>
              <w:t>201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 w:rsidRPr="00F1041A">
              <w:rPr>
                <w:rFonts w:ascii="仿宋_GB2312" w:eastAsia="仿宋_GB2312" w:hAnsi="宋体" w:cs="Calibri"/>
                <w:kern w:val="0"/>
                <w:szCs w:val="21"/>
              </w:rPr>
              <w:t>年</w:t>
            </w: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投入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宋体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经费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宋体" w:cs="Calibri" w:hint="eastAsia"/>
                <w:kern w:val="0"/>
                <w:szCs w:val="21"/>
              </w:rPr>
              <w:t>（万元）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安全职业教育教学指导委员会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106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626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483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报关职业教育教学指导委员会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包装职业教育教学指导委员会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54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88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675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365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财政职业教育教学指导委员会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餐饮职业教育教学指导委员会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960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测绘地理信息职业教育教学指导委员会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75%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1070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271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船舶工业职业教育教学指导委员会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82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89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4535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3553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电力职业教育教学指导委员会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电子商务职业教育教学指导委员会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66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176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224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纺织服装职业教育教学指导委员会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88%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89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工业和信息化职业教育教学指导委员会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15460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6312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公安职业教育教学指导委员会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9800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供销合作职业教育教学指导委员会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4495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1949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广播影视职业教育教学指导委员会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63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2960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3141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国土资源职业教育教学指导委员会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航空工业职业教育教学指导委员会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环境保护职业教育教学指导委员会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71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Pr="00F1041A">
              <w:rPr>
                <w:rFonts w:ascii="Times New Roman" w:hAnsi="Times New Roman"/>
                <w:szCs w:val="21"/>
              </w:rPr>
              <w:t>5%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2903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399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lastRenderedPageBreak/>
              <w:t>18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机械职业教育教学指导委员会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  <w:r w:rsidRPr="00F1041A">
              <w:rPr>
                <w:rFonts w:ascii="Times New Roman" w:hAnsi="Times New Roman"/>
                <w:szCs w:val="21"/>
              </w:rPr>
              <w:t>5%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7771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建材职业教育教学指导委员会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219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交通运输职业教育教学指导委员会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09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18370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B1065">
              <w:rPr>
                <w:rFonts w:ascii="Times New Roman" w:eastAsia="仿宋_GB2312" w:hAnsi="Times New Roman"/>
                <w:kern w:val="0"/>
                <w:szCs w:val="21"/>
              </w:rPr>
              <w:t>2461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金融职业教育教学指导委员会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粮食职业教育教学指导委员会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692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3530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林业职业教育教学指导委员会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37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78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128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旅游职业教育教学指导委员会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94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4249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煤炭职业教育教学指导委员会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55%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587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美发美容职业教育教学指导委员会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67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民航职业教育教学指导委员会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民政职业教育教学指导委员会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97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3465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693992">
              <w:rPr>
                <w:rFonts w:ascii="Times New Roman" w:eastAsia="仿宋_GB2312" w:hAnsi="Times New Roman"/>
                <w:kern w:val="0"/>
                <w:szCs w:val="21"/>
              </w:rPr>
              <w:t>1735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民族技艺职业教育教学指导委员会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农业职业教育教学指导委员会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330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气象职业教育教学指导委员会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轻工职业教育教学指导委员会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5446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人口和计划生育职业教育教学指导委员会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288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Default="00E9775C" w:rsidP="000D104E">
            <w:pPr>
              <w:widowControl/>
              <w:spacing w:line="28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人力资源和社会保障职业教育教学指导</w:t>
            </w:r>
          </w:p>
          <w:p w:rsidR="00E9775C" w:rsidRPr="00F1041A" w:rsidRDefault="00E9775C" w:rsidP="000D104E">
            <w:pPr>
              <w:widowControl/>
              <w:spacing w:line="280" w:lineRule="exact"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35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商业职业教育教学指导委员会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550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95</w:t>
            </w:r>
          </w:p>
        </w:tc>
      </w:tr>
      <w:tr w:rsidR="00E9775C" w:rsidRPr="00F1041A" w:rsidTr="000D104E">
        <w:trPr>
          <w:trHeight w:val="3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生物技术职业教育教学指导委员会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lastRenderedPageBreak/>
              <w:t>37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石油和化工职业教育教学指导委员会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  <w:r w:rsidRPr="00F1041A">
              <w:rPr>
                <w:rFonts w:ascii="Times New Roman" w:hAnsi="Times New Roman"/>
                <w:szCs w:val="21"/>
              </w:rPr>
              <w:t>9%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25670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27120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食品工业职业教育教学指导委员会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40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食品药品职业教育教学指导委员会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12229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2445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水利职业教育教学指导委员会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1659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司法职业教育教学指导委员会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体育职业教育教学指导委员会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铁道职业教育教学指导委员会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统计职业教育教学指导委员会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外经贸职业教育教学指导委员会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107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3802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775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卫生职业教育教学指导委员会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8000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403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文化艺术职业教育教学指导委员会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5548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文物保护职业教育教学指导委员会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49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物流职业教育教学指导委员会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16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294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1455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新闻出版职业教育教学指导委员会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验光与配镜职业教育教学指导委员会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619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303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冶金职业教育教学指导委员会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  <w:r w:rsidRPr="00F1041A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  <w:r w:rsidRPr="00F1041A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340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4418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53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邮政职业教育教学指导委员会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lastRenderedPageBreak/>
              <w:t>54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有色金属职业教育教学指导委员会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1530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55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中医药职业教育教学指导委员会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288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56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住房和城乡建设职业教育教学指导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>5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58400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15699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57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职业院校外语类专业教学指导委员会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655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1399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58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职业院校文秘类专业教学指导委员会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rPr>
                <w:rFonts w:ascii="Times New Roman" w:eastAsia="仿宋_GB2312" w:hAnsi="Times New Roman"/>
                <w:w w:val="90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397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59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职业院校教育类专业教学指导委员会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288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60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职业院校艺术设计类专业教学指导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2E46D9" w:rsidRDefault="00E9775C" w:rsidP="000D104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61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28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2E46D9" w:rsidRDefault="00E9775C" w:rsidP="000D104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>46%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86</w:t>
            </w:r>
            <w:r w:rsidRPr="00F1041A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E46D9">
              <w:rPr>
                <w:rFonts w:ascii="Times New Roman" w:eastAsia="仿宋_GB2312" w:hAnsi="Times New Roman"/>
                <w:kern w:val="0"/>
                <w:szCs w:val="21"/>
              </w:rPr>
              <w:t xml:space="preserve">3558 </w:t>
            </w:r>
          </w:p>
        </w:tc>
      </w:tr>
      <w:tr w:rsidR="00E9775C" w:rsidRPr="00F1041A" w:rsidTr="000D104E">
        <w:trPr>
          <w:trHeight w:val="288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61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职业院校信息化教学指导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/>
                <w:szCs w:val="21"/>
              </w:rPr>
              <w:t xml:space="preserve">　</w:t>
            </w:r>
            <w:r w:rsidRPr="00F1041A">
              <w:rPr>
                <w:rFonts w:ascii="Times New Roman" w:hint="eastAsia"/>
                <w:szCs w:val="21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kern w:val="0"/>
                <w:szCs w:val="21"/>
              </w:rPr>
              <w:t>未填报</w:t>
            </w:r>
          </w:p>
        </w:tc>
      </w:tr>
      <w:tr w:rsidR="00E9775C" w:rsidRPr="00F1041A" w:rsidTr="000D104E">
        <w:trPr>
          <w:trHeight w:val="48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62</w:t>
            </w: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职业院校文化素质教育指导</w:t>
            </w:r>
          </w:p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F1041A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1041A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E9775C" w:rsidRPr="00F1041A" w:rsidTr="000D104E">
        <w:trPr>
          <w:trHeight w:val="42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5C" w:rsidRPr="00F1041A" w:rsidRDefault="00E9775C" w:rsidP="000D104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F1041A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33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244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74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1041A">
              <w:rPr>
                <w:rFonts w:ascii="Times New Roman" w:hAnsi="Times New Roman"/>
                <w:szCs w:val="21"/>
              </w:rPr>
              <w:t>30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A47888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A47888">
              <w:rPr>
                <w:rFonts w:ascii="Times New Roman" w:hAnsi="Times New Roman"/>
                <w:szCs w:val="21"/>
              </w:rPr>
              <w:t>1815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A47888" w:rsidRDefault="00E9775C" w:rsidP="000D104E">
            <w:pPr>
              <w:jc w:val="center"/>
              <w:rPr>
                <w:rFonts w:ascii="Times New Roman" w:hAnsi="Times New Roman"/>
                <w:szCs w:val="21"/>
              </w:rPr>
            </w:pPr>
            <w:r w:rsidRPr="00A47888"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45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 w:rsidRPr="00F1041A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7888">
              <w:rPr>
                <w:rFonts w:ascii="Times New Roman" w:eastAsia="仿宋_GB2312" w:hAnsi="Times New Roman"/>
                <w:szCs w:val="21"/>
              </w:rPr>
              <w:t>234206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5C" w:rsidRPr="00F1041A" w:rsidRDefault="00E9775C" w:rsidP="000D104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31097</w:t>
            </w:r>
          </w:p>
        </w:tc>
      </w:tr>
    </w:tbl>
    <w:p w:rsidR="00545C47" w:rsidRDefault="00E9775C"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  <w:bookmarkStart w:id="0" w:name="_GoBack"/>
      <w:bookmarkEnd w:id="0"/>
    </w:p>
    <w:sectPr w:rsidR="00545C47" w:rsidSect="00E977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, ??,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EA0"/>
    <w:multiLevelType w:val="hybridMultilevel"/>
    <w:tmpl w:val="A1269F36"/>
    <w:lvl w:ilvl="0" w:tplc="DD8CE7C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DC5C2D"/>
    <w:multiLevelType w:val="hybridMultilevel"/>
    <w:tmpl w:val="0C3A9022"/>
    <w:lvl w:ilvl="0" w:tplc="0C58FC2E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4B7381"/>
    <w:multiLevelType w:val="hybridMultilevel"/>
    <w:tmpl w:val="4C98B6A8"/>
    <w:lvl w:ilvl="0" w:tplc="31887A4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0A3642E"/>
    <w:multiLevelType w:val="hybridMultilevel"/>
    <w:tmpl w:val="0822402A"/>
    <w:lvl w:ilvl="0" w:tplc="1A801026">
      <w:start w:val="2"/>
      <w:numFmt w:val="bullet"/>
      <w:lvlText w:val="—"/>
      <w:lvlJc w:val="left"/>
      <w:pPr>
        <w:ind w:left="8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>
    <w:nsid w:val="424349FD"/>
    <w:multiLevelType w:val="hybridMultilevel"/>
    <w:tmpl w:val="ED0ED4E4"/>
    <w:lvl w:ilvl="0" w:tplc="DA8A7E54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FB1338"/>
    <w:multiLevelType w:val="hybridMultilevel"/>
    <w:tmpl w:val="E126EE5E"/>
    <w:lvl w:ilvl="0" w:tplc="C532C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584F01"/>
    <w:multiLevelType w:val="hybridMultilevel"/>
    <w:tmpl w:val="E752D356"/>
    <w:lvl w:ilvl="0" w:tplc="9FE8F58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5C"/>
    <w:rsid w:val="00545C47"/>
    <w:rsid w:val="00E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77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75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annotation reference"/>
    <w:basedOn w:val="a0"/>
    <w:uiPriority w:val="99"/>
    <w:semiHidden/>
    <w:unhideWhenUsed/>
    <w:rsid w:val="00E9775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9775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9775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9775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9775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977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775C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9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9775C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9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9775C"/>
    <w:rPr>
      <w:sz w:val="18"/>
      <w:szCs w:val="18"/>
    </w:rPr>
  </w:style>
  <w:style w:type="paragraph" w:styleId="a9">
    <w:name w:val="Revision"/>
    <w:hidden/>
    <w:uiPriority w:val="99"/>
    <w:semiHidden/>
    <w:rsid w:val="00E9775C"/>
  </w:style>
  <w:style w:type="character" w:customStyle="1" w:styleId="z-Char">
    <w:name w:val="z-窗体顶端 Char"/>
    <w:link w:val="z-"/>
    <w:uiPriority w:val="99"/>
    <w:semiHidden/>
    <w:rsid w:val="00E9775C"/>
    <w:rPr>
      <w:rFonts w:ascii="Arial" w:hAnsi="Arial" w:cs="Arial"/>
      <w:vanish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9775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E9775C"/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E9775C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9775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E9775C"/>
    <w:rPr>
      <w:rFonts w:ascii="Arial" w:hAnsi="Arial" w:cs="Arial"/>
      <w:vanish/>
      <w:sz w:val="16"/>
      <w:szCs w:val="16"/>
    </w:rPr>
  </w:style>
  <w:style w:type="character" w:customStyle="1" w:styleId="Char4">
    <w:name w:val="文档结构图 Char"/>
    <w:link w:val="aa"/>
    <w:uiPriority w:val="99"/>
    <w:semiHidden/>
    <w:rsid w:val="00E9775C"/>
    <w:rPr>
      <w:rFonts w:ascii="宋体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E9775C"/>
    <w:rPr>
      <w:rFonts w:ascii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E9775C"/>
    <w:rPr>
      <w:rFonts w:ascii="宋体" w:eastAsia="宋体"/>
      <w:sz w:val="18"/>
      <w:szCs w:val="18"/>
    </w:rPr>
  </w:style>
  <w:style w:type="character" w:customStyle="1" w:styleId="Char11">
    <w:name w:val="批注文字 Char1"/>
    <w:uiPriority w:val="99"/>
    <w:semiHidden/>
    <w:rsid w:val="00E9775C"/>
    <w:rPr>
      <w:kern w:val="2"/>
      <w:sz w:val="21"/>
      <w:szCs w:val="22"/>
    </w:rPr>
  </w:style>
  <w:style w:type="character" w:customStyle="1" w:styleId="Char12">
    <w:name w:val="批注主题 Char1"/>
    <w:uiPriority w:val="99"/>
    <w:semiHidden/>
    <w:rsid w:val="00E9775C"/>
    <w:rPr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9775C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Hyperlink"/>
    <w:uiPriority w:val="99"/>
    <w:unhideWhenUsed/>
    <w:rsid w:val="00E9775C"/>
    <w:rPr>
      <w:rFonts w:ascii="??" w:hAnsi="??" w:hint="default"/>
      <w:strike w:val="0"/>
      <w:dstrike w:val="0"/>
      <w:color w:val="000000"/>
      <w:u w:val="none"/>
      <w:effect w:val="none"/>
    </w:rPr>
  </w:style>
  <w:style w:type="paragraph" w:customStyle="1" w:styleId="whitelink1">
    <w:name w:val="whitelink1"/>
    <w:basedOn w:val="a"/>
    <w:rsid w:val="00E9775C"/>
    <w:pPr>
      <w:widowControl/>
      <w:spacing w:before="100" w:beforeAutospacing="1" w:after="100" w:afterAutospacing="1" w:line="215" w:lineRule="atLeast"/>
      <w:jc w:val="left"/>
    </w:pPr>
    <w:rPr>
      <w:rFonts w:ascii="??" w:eastAsia="宋体" w:hAnsi="??" w:cs="宋体"/>
      <w:color w:val="FFFFFF"/>
      <w:kern w:val="0"/>
      <w:sz w:val="13"/>
      <w:szCs w:val="13"/>
    </w:rPr>
  </w:style>
  <w:style w:type="paragraph" w:customStyle="1" w:styleId="whitelink2">
    <w:name w:val="whitelink2"/>
    <w:basedOn w:val="a"/>
    <w:rsid w:val="00E9775C"/>
    <w:pPr>
      <w:widowControl/>
      <w:spacing w:before="100" w:beforeAutospacing="1" w:after="100" w:afterAutospacing="1"/>
      <w:jc w:val="left"/>
    </w:pPr>
    <w:rPr>
      <w:rFonts w:ascii="??" w:eastAsia="宋体" w:hAnsi="??" w:cs="宋体"/>
      <w:color w:val="FFFFFF"/>
      <w:kern w:val="0"/>
      <w:sz w:val="24"/>
      <w:szCs w:val="24"/>
    </w:rPr>
  </w:style>
  <w:style w:type="paragraph" w:customStyle="1" w:styleId="reds">
    <w:name w:val="reds"/>
    <w:basedOn w:val="a"/>
    <w:rsid w:val="00E9775C"/>
    <w:pPr>
      <w:widowControl/>
      <w:spacing w:before="100" w:beforeAutospacing="1" w:after="100" w:afterAutospacing="1" w:line="150" w:lineRule="atLeast"/>
      <w:jc w:val="left"/>
    </w:pPr>
    <w:rPr>
      <w:rFonts w:ascii="宋体" w:eastAsia="宋体" w:hAnsi="宋体" w:cs="宋体"/>
      <w:b/>
      <w:bCs/>
      <w:color w:val="666666"/>
      <w:kern w:val="0"/>
      <w:sz w:val="13"/>
      <w:szCs w:val="13"/>
    </w:rPr>
  </w:style>
  <w:style w:type="paragraph" w:customStyle="1" w:styleId="blacklink2">
    <w:name w:val="blacklink2"/>
    <w:basedOn w:val="a"/>
    <w:rsid w:val="00E9775C"/>
    <w:pPr>
      <w:widowControl/>
      <w:spacing w:before="100" w:beforeAutospacing="1" w:after="100" w:afterAutospacing="1" w:line="150" w:lineRule="atLeast"/>
      <w:jc w:val="left"/>
    </w:pPr>
    <w:rPr>
      <w:rFonts w:ascii="宋体" w:eastAsia="宋体" w:hAnsi="宋体" w:cs="宋体"/>
      <w:color w:val="666666"/>
      <w:kern w:val="0"/>
      <w:sz w:val="13"/>
      <w:szCs w:val="13"/>
    </w:rPr>
  </w:style>
  <w:style w:type="paragraph" w:customStyle="1" w:styleId="blackfont">
    <w:name w:val="blackfont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, ??," w:eastAsia="宋体" w:hAnsi=", ??," w:cs="宋体"/>
      <w:color w:val="656565"/>
      <w:kern w:val="0"/>
      <w:sz w:val="13"/>
      <w:szCs w:val="13"/>
    </w:rPr>
  </w:style>
  <w:style w:type="paragraph" w:customStyle="1" w:styleId="blue">
    <w:name w:val="blue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, ??," w:eastAsia="宋体" w:hAnsi=", ??," w:cs="宋体"/>
      <w:color w:val="656565"/>
      <w:kern w:val="0"/>
      <w:sz w:val="13"/>
      <w:szCs w:val="13"/>
    </w:rPr>
  </w:style>
  <w:style w:type="paragraph" w:customStyle="1" w:styleId="gray">
    <w:name w:val="gray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Helvetica" w:eastAsia="宋体" w:hAnsi="Helvetica" w:cs="Helvetica"/>
      <w:color w:val="999999"/>
      <w:kern w:val="0"/>
      <w:sz w:val="11"/>
      <w:szCs w:val="11"/>
    </w:rPr>
  </w:style>
  <w:style w:type="paragraph" w:customStyle="1" w:styleId="input">
    <w:name w:val="input"/>
    <w:basedOn w:val="a"/>
    <w:rsid w:val="00E9775C"/>
    <w:pPr>
      <w:widowControl/>
      <w:pBdr>
        <w:top w:val="inset" w:sz="4" w:space="0" w:color="999999"/>
        <w:left w:val="inset" w:sz="4" w:space="0" w:color="999999"/>
        <w:bottom w:val="inset" w:sz="4" w:space="0" w:color="CCCCCC"/>
        <w:right w:val="inset" w:sz="4" w:space="0" w:color="CCCCCC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1">
    <w:name w:val="input1"/>
    <w:basedOn w:val="a"/>
    <w:rsid w:val="00E9775C"/>
    <w:pPr>
      <w:widowControl/>
      <w:pBdr>
        <w:top w:val="inset" w:sz="4" w:space="0" w:color="6F6F6F"/>
        <w:left w:val="inset" w:sz="4" w:space="0" w:color="6F6F6F"/>
        <w:bottom w:val="inset" w:sz="4" w:space="0" w:color="6F6F6F"/>
        <w:right w:val="inset" w:sz="4" w:space="0" w:color="6F6F6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lect">
    <w:name w:val="select"/>
    <w:basedOn w:val="a"/>
    <w:rsid w:val="00E9775C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E9775C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E9775C"/>
    <w:pPr>
      <w:widowControl/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pacing w:before="100" w:beforeAutospacing="1" w:after="100" w:afterAutospacing="1"/>
      <w:ind w:right="3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5"/>
      <w:szCs w:val="15"/>
    </w:rPr>
  </w:style>
  <w:style w:type="paragraph" w:customStyle="1" w:styleId="contenttext">
    <w:name w:val="contenttext"/>
    <w:basedOn w:val="a"/>
    <w:rsid w:val="00E9775C"/>
    <w:pPr>
      <w:widowControl/>
      <w:spacing w:before="100" w:beforeAutospacing="1" w:after="100" w:afterAutospacing="1" w:line="258" w:lineRule="atLeast"/>
      <w:jc w:val="left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titletext">
    <w:name w:val="titletext"/>
    <w:basedOn w:val="a"/>
    <w:rsid w:val="00E9775C"/>
    <w:pPr>
      <w:widowControl/>
      <w:spacing w:before="100" w:beforeAutospacing="1" w:after="100" w:afterAutospacing="1" w:line="440" w:lineRule="atLeast"/>
      <w:jc w:val="left"/>
    </w:pPr>
    <w:rPr>
      <w:rFonts w:ascii="Arial" w:eastAsia="宋体" w:hAnsi="Arial" w:cs="Arial"/>
      <w:color w:val="0066AD"/>
      <w:kern w:val="0"/>
      <w:sz w:val="15"/>
      <w:szCs w:val="15"/>
    </w:rPr>
  </w:style>
  <w:style w:type="paragraph" w:customStyle="1" w:styleId="bluelink">
    <w:name w:val="bluelink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cklink">
    <w:name w:val="blacklink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uiPriority w:val="22"/>
    <w:qFormat/>
    <w:rsid w:val="00E9775C"/>
    <w:rPr>
      <w:b/>
      <w:bCs/>
    </w:rPr>
  </w:style>
  <w:style w:type="paragraph" w:customStyle="1" w:styleId="font5">
    <w:name w:val="font5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E9775C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E977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77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75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annotation reference"/>
    <w:basedOn w:val="a0"/>
    <w:uiPriority w:val="99"/>
    <w:semiHidden/>
    <w:unhideWhenUsed/>
    <w:rsid w:val="00E9775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9775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9775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9775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9775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977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775C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9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9775C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9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9775C"/>
    <w:rPr>
      <w:sz w:val="18"/>
      <w:szCs w:val="18"/>
    </w:rPr>
  </w:style>
  <w:style w:type="paragraph" w:styleId="a9">
    <w:name w:val="Revision"/>
    <w:hidden/>
    <w:uiPriority w:val="99"/>
    <w:semiHidden/>
    <w:rsid w:val="00E9775C"/>
  </w:style>
  <w:style w:type="character" w:customStyle="1" w:styleId="z-Char">
    <w:name w:val="z-窗体顶端 Char"/>
    <w:link w:val="z-"/>
    <w:uiPriority w:val="99"/>
    <w:semiHidden/>
    <w:rsid w:val="00E9775C"/>
    <w:rPr>
      <w:rFonts w:ascii="Arial" w:hAnsi="Arial" w:cs="Arial"/>
      <w:vanish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9775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E9775C"/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E9775C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9775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E9775C"/>
    <w:rPr>
      <w:rFonts w:ascii="Arial" w:hAnsi="Arial" w:cs="Arial"/>
      <w:vanish/>
      <w:sz w:val="16"/>
      <w:szCs w:val="16"/>
    </w:rPr>
  </w:style>
  <w:style w:type="character" w:customStyle="1" w:styleId="Char4">
    <w:name w:val="文档结构图 Char"/>
    <w:link w:val="aa"/>
    <w:uiPriority w:val="99"/>
    <w:semiHidden/>
    <w:rsid w:val="00E9775C"/>
    <w:rPr>
      <w:rFonts w:ascii="宋体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E9775C"/>
    <w:rPr>
      <w:rFonts w:ascii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E9775C"/>
    <w:rPr>
      <w:rFonts w:ascii="宋体" w:eastAsia="宋体"/>
      <w:sz w:val="18"/>
      <w:szCs w:val="18"/>
    </w:rPr>
  </w:style>
  <w:style w:type="character" w:customStyle="1" w:styleId="Char11">
    <w:name w:val="批注文字 Char1"/>
    <w:uiPriority w:val="99"/>
    <w:semiHidden/>
    <w:rsid w:val="00E9775C"/>
    <w:rPr>
      <w:kern w:val="2"/>
      <w:sz w:val="21"/>
      <w:szCs w:val="22"/>
    </w:rPr>
  </w:style>
  <w:style w:type="character" w:customStyle="1" w:styleId="Char12">
    <w:name w:val="批注主题 Char1"/>
    <w:uiPriority w:val="99"/>
    <w:semiHidden/>
    <w:rsid w:val="00E9775C"/>
    <w:rPr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9775C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Hyperlink"/>
    <w:uiPriority w:val="99"/>
    <w:unhideWhenUsed/>
    <w:rsid w:val="00E9775C"/>
    <w:rPr>
      <w:rFonts w:ascii="??" w:hAnsi="??" w:hint="default"/>
      <w:strike w:val="0"/>
      <w:dstrike w:val="0"/>
      <w:color w:val="000000"/>
      <w:u w:val="none"/>
      <w:effect w:val="none"/>
    </w:rPr>
  </w:style>
  <w:style w:type="paragraph" w:customStyle="1" w:styleId="whitelink1">
    <w:name w:val="whitelink1"/>
    <w:basedOn w:val="a"/>
    <w:rsid w:val="00E9775C"/>
    <w:pPr>
      <w:widowControl/>
      <w:spacing w:before="100" w:beforeAutospacing="1" w:after="100" w:afterAutospacing="1" w:line="215" w:lineRule="atLeast"/>
      <w:jc w:val="left"/>
    </w:pPr>
    <w:rPr>
      <w:rFonts w:ascii="??" w:eastAsia="宋体" w:hAnsi="??" w:cs="宋体"/>
      <w:color w:val="FFFFFF"/>
      <w:kern w:val="0"/>
      <w:sz w:val="13"/>
      <w:szCs w:val="13"/>
    </w:rPr>
  </w:style>
  <w:style w:type="paragraph" w:customStyle="1" w:styleId="whitelink2">
    <w:name w:val="whitelink2"/>
    <w:basedOn w:val="a"/>
    <w:rsid w:val="00E9775C"/>
    <w:pPr>
      <w:widowControl/>
      <w:spacing w:before="100" w:beforeAutospacing="1" w:after="100" w:afterAutospacing="1"/>
      <w:jc w:val="left"/>
    </w:pPr>
    <w:rPr>
      <w:rFonts w:ascii="??" w:eastAsia="宋体" w:hAnsi="??" w:cs="宋体"/>
      <w:color w:val="FFFFFF"/>
      <w:kern w:val="0"/>
      <w:sz w:val="24"/>
      <w:szCs w:val="24"/>
    </w:rPr>
  </w:style>
  <w:style w:type="paragraph" w:customStyle="1" w:styleId="reds">
    <w:name w:val="reds"/>
    <w:basedOn w:val="a"/>
    <w:rsid w:val="00E9775C"/>
    <w:pPr>
      <w:widowControl/>
      <w:spacing w:before="100" w:beforeAutospacing="1" w:after="100" w:afterAutospacing="1" w:line="150" w:lineRule="atLeast"/>
      <w:jc w:val="left"/>
    </w:pPr>
    <w:rPr>
      <w:rFonts w:ascii="宋体" w:eastAsia="宋体" w:hAnsi="宋体" w:cs="宋体"/>
      <w:b/>
      <w:bCs/>
      <w:color w:val="666666"/>
      <w:kern w:val="0"/>
      <w:sz w:val="13"/>
      <w:szCs w:val="13"/>
    </w:rPr>
  </w:style>
  <w:style w:type="paragraph" w:customStyle="1" w:styleId="blacklink2">
    <w:name w:val="blacklink2"/>
    <w:basedOn w:val="a"/>
    <w:rsid w:val="00E9775C"/>
    <w:pPr>
      <w:widowControl/>
      <w:spacing w:before="100" w:beforeAutospacing="1" w:after="100" w:afterAutospacing="1" w:line="150" w:lineRule="atLeast"/>
      <w:jc w:val="left"/>
    </w:pPr>
    <w:rPr>
      <w:rFonts w:ascii="宋体" w:eastAsia="宋体" w:hAnsi="宋体" w:cs="宋体"/>
      <w:color w:val="666666"/>
      <w:kern w:val="0"/>
      <w:sz w:val="13"/>
      <w:szCs w:val="13"/>
    </w:rPr>
  </w:style>
  <w:style w:type="paragraph" w:customStyle="1" w:styleId="blackfont">
    <w:name w:val="blackfont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, ??," w:eastAsia="宋体" w:hAnsi=", ??," w:cs="宋体"/>
      <w:color w:val="656565"/>
      <w:kern w:val="0"/>
      <w:sz w:val="13"/>
      <w:szCs w:val="13"/>
    </w:rPr>
  </w:style>
  <w:style w:type="paragraph" w:customStyle="1" w:styleId="blue">
    <w:name w:val="blue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, ??," w:eastAsia="宋体" w:hAnsi=", ??," w:cs="宋体"/>
      <w:color w:val="656565"/>
      <w:kern w:val="0"/>
      <w:sz w:val="13"/>
      <w:szCs w:val="13"/>
    </w:rPr>
  </w:style>
  <w:style w:type="paragraph" w:customStyle="1" w:styleId="gray">
    <w:name w:val="gray"/>
    <w:basedOn w:val="a"/>
    <w:rsid w:val="00E9775C"/>
    <w:pPr>
      <w:widowControl/>
      <w:spacing w:before="100" w:beforeAutospacing="1" w:after="100" w:afterAutospacing="1" w:line="193" w:lineRule="atLeast"/>
      <w:jc w:val="left"/>
    </w:pPr>
    <w:rPr>
      <w:rFonts w:ascii="Helvetica" w:eastAsia="宋体" w:hAnsi="Helvetica" w:cs="Helvetica"/>
      <w:color w:val="999999"/>
      <w:kern w:val="0"/>
      <w:sz w:val="11"/>
      <w:szCs w:val="11"/>
    </w:rPr>
  </w:style>
  <w:style w:type="paragraph" w:customStyle="1" w:styleId="input">
    <w:name w:val="input"/>
    <w:basedOn w:val="a"/>
    <w:rsid w:val="00E9775C"/>
    <w:pPr>
      <w:widowControl/>
      <w:pBdr>
        <w:top w:val="inset" w:sz="4" w:space="0" w:color="999999"/>
        <w:left w:val="inset" w:sz="4" w:space="0" w:color="999999"/>
        <w:bottom w:val="inset" w:sz="4" w:space="0" w:color="CCCCCC"/>
        <w:right w:val="inset" w:sz="4" w:space="0" w:color="CCCCCC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1">
    <w:name w:val="input1"/>
    <w:basedOn w:val="a"/>
    <w:rsid w:val="00E9775C"/>
    <w:pPr>
      <w:widowControl/>
      <w:pBdr>
        <w:top w:val="inset" w:sz="4" w:space="0" w:color="6F6F6F"/>
        <w:left w:val="inset" w:sz="4" w:space="0" w:color="6F6F6F"/>
        <w:bottom w:val="inset" w:sz="4" w:space="0" w:color="6F6F6F"/>
        <w:right w:val="inset" w:sz="4" w:space="0" w:color="6F6F6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lect">
    <w:name w:val="select"/>
    <w:basedOn w:val="a"/>
    <w:rsid w:val="00E9775C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E9775C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E9775C"/>
    <w:pPr>
      <w:widowControl/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pacing w:before="100" w:beforeAutospacing="1" w:after="100" w:afterAutospacing="1"/>
      <w:ind w:right="3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5"/>
      <w:szCs w:val="15"/>
    </w:rPr>
  </w:style>
  <w:style w:type="paragraph" w:customStyle="1" w:styleId="contenttext">
    <w:name w:val="contenttext"/>
    <w:basedOn w:val="a"/>
    <w:rsid w:val="00E9775C"/>
    <w:pPr>
      <w:widowControl/>
      <w:spacing w:before="100" w:beforeAutospacing="1" w:after="100" w:afterAutospacing="1" w:line="258" w:lineRule="atLeast"/>
      <w:jc w:val="left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titletext">
    <w:name w:val="titletext"/>
    <w:basedOn w:val="a"/>
    <w:rsid w:val="00E9775C"/>
    <w:pPr>
      <w:widowControl/>
      <w:spacing w:before="100" w:beforeAutospacing="1" w:after="100" w:afterAutospacing="1" w:line="440" w:lineRule="atLeast"/>
      <w:jc w:val="left"/>
    </w:pPr>
    <w:rPr>
      <w:rFonts w:ascii="Arial" w:eastAsia="宋体" w:hAnsi="Arial" w:cs="Arial"/>
      <w:color w:val="0066AD"/>
      <w:kern w:val="0"/>
      <w:sz w:val="15"/>
      <w:szCs w:val="15"/>
    </w:rPr>
  </w:style>
  <w:style w:type="paragraph" w:customStyle="1" w:styleId="bluelink">
    <w:name w:val="bluelink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cklink">
    <w:name w:val="blacklink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uiPriority w:val="22"/>
    <w:qFormat/>
    <w:rsid w:val="00E9775C"/>
    <w:rPr>
      <w:b/>
      <w:bCs/>
    </w:rPr>
  </w:style>
  <w:style w:type="paragraph" w:customStyle="1" w:styleId="font5">
    <w:name w:val="font5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E977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E9775C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977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E977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2018-04-13T08:47:00Z</dcterms:created>
  <dcterms:modified xsi:type="dcterms:W3CDTF">2018-04-13T08:47:00Z</dcterms:modified>
</cp:coreProperties>
</file>